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90" w:rsidRPr="00514390" w:rsidRDefault="00514390" w:rsidP="00514390">
      <w:pPr>
        <w:spacing w:after="150" w:line="390" w:lineRule="atLeast"/>
        <w:outlineLvl w:val="5"/>
        <w:rPr>
          <w:rFonts w:ascii="inherit" w:eastAsia="Times New Roman" w:hAnsi="inherit" w:cs="Helvetica"/>
          <w:b/>
          <w:bCs/>
          <w:color w:val="333333"/>
          <w:sz w:val="24"/>
          <w:szCs w:val="24"/>
        </w:rPr>
      </w:pPr>
      <w:r w:rsidRPr="00514390">
        <w:rPr>
          <w:rFonts w:ascii="Lato" w:eastAsia="Times New Roman" w:hAnsi="Lato" w:cs="Helvetica"/>
          <w:b/>
          <w:bCs/>
          <w:color w:val="333333"/>
          <w:sz w:val="24"/>
          <w:szCs w:val="24"/>
        </w:rPr>
        <w:t>BOX 1</w:t>
      </w:r>
      <w:r w:rsidRPr="00514390">
        <w:rPr>
          <w:rFonts w:ascii="inherit" w:eastAsia="Times New Roman" w:hAnsi="inherit" w:cs="Helvetica"/>
          <w:b/>
          <w:bCs/>
          <w:color w:val="333333"/>
          <w:sz w:val="24"/>
          <w:szCs w:val="24"/>
        </w:rPr>
        <w:t xml:space="preserve">. </w:t>
      </w:r>
      <w:r w:rsidRPr="00514390">
        <w:rPr>
          <w:rFonts w:ascii="Lato" w:eastAsia="Times New Roman" w:hAnsi="Lato" w:cs="Helvetica"/>
          <w:b/>
          <w:bCs/>
          <w:color w:val="333333"/>
          <w:sz w:val="24"/>
          <w:szCs w:val="24"/>
        </w:rPr>
        <w:t>CDC recommendations for prescribing opioids for chronic pain outside of active cancer, palliative, and end-of-life care</w:t>
      </w:r>
    </w:p>
    <w:p w:rsidR="00514390" w:rsidRPr="00514390" w:rsidRDefault="00514390" w:rsidP="00514390">
      <w:pPr>
        <w:spacing w:before="150" w:after="150" w:line="450" w:lineRule="atLeast"/>
        <w:outlineLvl w:val="3"/>
        <w:rPr>
          <w:rFonts w:ascii="inherit" w:eastAsia="Times New Roman" w:hAnsi="inherit" w:cs="Helvetica"/>
          <w:b/>
          <w:bCs/>
          <w:color w:val="333333"/>
          <w:sz w:val="30"/>
          <w:szCs w:val="30"/>
        </w:rPr>
      </w:pPr>
      <w:r w:rsidRPr="00514390">
        <w:rPr>
          <w:rFonts w:ascii="Lato" w:eastAsia="Times New Roman" w:hAnsi="Lato" w:cs="Helvetica"/>
          <w:b/>
          <w:bCs/>
          <w:color w:val="333333"/>
          <w:sz w:val="30"/>
          <w:szCs w:val="30"/>
        </w:rPr>
        <w:t>Determining When to Initiate or Continue Opioids for Chronic Pain</w:t>
      </w:r>
    </w:p>
    <w:p w:rsidR="00514390" w:rsidRPr="00514390" w:rsidRDefault="00514390" w:rsidP="00514390">
      <w:pPr>
        <w:numPr>
          <w:ilvl w:val="1"/>
          <w:numId w:val="1"/>
        </w:numPr>
        <w:spacing w:before="100" w:beforeAutospacing="1" w:after="100" w:afterAutospacing="1" w:line="375" w:lineRule="atLeast"/>
        <w:ind w:left="600"/>
        <w:rPr>
          <w:rFonts w:ascii="Helvetica" w:eastAsia="Times New Roman" w:hAnsi="Helvetica" w:cs="Helvetica"/>
          <w:color w:val="333333"/>
          <w:sz w:val="21"/>
          <w:szCs w:val="21"/>
        </w:rPr>
      </w:pPr>
      <w:proofErr w:type="spellStart"/>
      <w:r w:rsidRPr="00514390">
        <w:rPr>
          <w:rFonts w:ascii="Helvetica" w:eastAsia="Times New Roman" w:hAnsi="Helvetica" w:cs="Helvetica"/>
          <w:color w:val="333333"/>
          <w:sz w:val="21"/>
          <w:szCs w:val="21"/>
        </w:rPr>
        <w:t>Nonpharmacologic</w:t>
      </w:r>
      <w:proofErr w:type="spellEnd"/>
      <w:r w:rsidRPr="00514390">
        <w:rPr>
          <w:rFonts w:ascii="Helvetica" w:eastAsia="Times New Roman" w:hAnsi="Helvetica" w:cs="Helvetica"/>
          <w:color w:val="333333"/>
          <w:sz w:val="21"/>
          <w:szCs w:val="21"/>
        </w:rPr>
        <w:t xml:space="preserve"> therapy and </w:t>
      </w:r>
      <w:proofErr w:type="spellStart"/>
      <w:r w:rsidRPr="00514390">
        <w:rPr>
          <w:rFonts w:ascii="Helvetica" w:eastAsia="Times New Roman" w:hAnsi="Helvetica" w:cs="Helvetica"/>
          <w:color w:val="333333"/>
          <w:sz w:val="21"/>
          <w:szCs w:val="21"/>
        </w:rPr>
        <w:t>nonopioid</w:t>
      </w:r>
      <w:proofErr w:type="spellEnd"/>
      <w:r w:rsidRPr="00514390">
        <w:rPr>
          <w:rFonts w:ascii="Helvetica" w:eastAsia="Times New Roman" w:hAnsi="Helvetica" w:cs="Helvetica"/>
          <w:color w:val="333333"/>
          <w:sz w:val="21"/>
          <w:szCs w:val="21"/>
        </w:rPr>
        <w:t xml:space="preserve"> pharmacologic therapy are preferred for chronic pain. Clinicians should consider opioid therapy only if expected benefits for both pain and function are anticipated to outweigh risks to the patient. If opioids are used, they should be combined with </w:t>
      </w:r>
      <w:proofErr w:type="spellStart"/>
      <w:r w:rsidRPr="00514390">
        <w:rPr>
          <w:rFonts w:ascii="Helvetica" w:eastAsia="Times New Roman" w:hAnsi="Helvetica" w:cs="Helvetica"/>
          <w:color w:val="333333"/>
          <w:sz w:val="21"/>
          <w:szCs w:val="21"/>
        </w:rPr>
        <w:t>nonpharmacologic</w:t>
      </w:r>
      <w:proofErr w:type="spellEnd"/>
      <w:r w:rsidRPr="00514390">
        <w:rPr>
          <w:rFonts w:ascii="Helvetica" w:eastAsia="Times New Roman" w:hAnsi="Helvetica" w:cs="Helvetica"/>
          <w:color w:val="333333"/>
          <w:sz w:val="21"/>
          <w:szCs w:val="21"/>
        </w:rPr>
        <w:t xml:space="preserve"> therapy and </w:t>
      </w:r>
      <w:proofErr w:type="spellStart"/>
      <w:r w:rsidRPr="00514390">
        <w:rPr>
          <w:rFonts w:ascii="Helvetica" w:eastAsia="Times New Roman" w:hAnsi="Helvetica" w:cs="Helvetica"/>
          <w:color w:val="333333"/>
          <w:sz w:val="21"/>
          <w:szCs w:val="21"/>
        </w:rPr>
        <w:t>nonopioid</w:t>
      </w:r>
      <w:proofErr w:type="spellEnd"/>
      <w:r w:rsidRPr="00514390">
        <w:rPr>
          <w:rFonts w:ascii="Helvetica" w:eastAsia="Times New Roman" w:hAnsi="Helvetica" w:cs="Helvetica"/>
          <w:color w:val="333333"/>
          <w:sz w:val="21"/>
          <w:szCs w:val="21"/>
        </w:rPr>
        <w:t xml:space="preserve"> pharmacologic therapy, as appropriate.</w:t>
      </w:r>
    </w:p>
    <w:p w:rsidR="00514390" w:rsidRPr="00514390" w:rsidRDefault="00514390" w:rsidP="00514390">
      <w:pPr>
        <w:numPr>
          <w:ilvl w:val="1"/>
          <w:numId w:val="1"/>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Before starting opioid therapy for chronic pain, clinicians should establish treatment goals with all patients, including realistic goals for pain and function, and should consider how therapy will be discontinued if benefits do not outweigh risks. Clinicians should continue opioid therapy only if there is clinically meaningful improvement in pain and function that outweighs risks to patient safety.</w:t>
      </w:r>
    </w:p>
    <w:p w:rsidR="00514390" w:rsidRPr="00514390" w:rsidRDefault="00514390" w:rsidP="00514390">
      <w:pPr>
        <w:numPr>
          <w:ilvl w:val="1"/>
          <w:numId w:val="1"/>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Before starting and periodically during opioid therapy, clinicians should discuss with patients known risks and realistic benefits of opioid therapy and patient and clinician responsibilities for managing therapy.</w:t>
      </w:r>
    </w:p>
    <w:p w:rsidR="00514390" w:rsidRPr="00514390" w:rsidRDefault="00514390" w:rsidP="00514390">
      <w:pPr>
        <w:spacing w:before="150" w:after="150" w:line="450" w:lineRule="atLeast"/>
        <w:outlineLvl w:val="3"/>
        <w:rPr>
          <w:rFonts w:ascii="inherit" w:eastAsia="Times New Roman" w:hAnsi="inherit" w:cs="Helvetica"/>
          <w:b/>
          <w:bCs/>
          <w:color w:val="333333"/>
          <w:sz w:val="30"/>
          <w:szCs w:val="30"/>
        </w:rPr>
      </w:pPr>
      <w:r w:rsidRPr="00514390">
        <w:rPr>
          <w:rFonts w:ascii="Lato" w:eastAsia="Times New Roman" w:hAnsi="Lato" w:cs="Helvetica"/>
          <w:b/>
          <w:bCs/>
          <w:color w:val="333333"/>
          <w:sz w:val="30"/>
          <w:szCs w:val="30"/>
        </w:rPr>
        <w:t>Opioid Selection, Dosage, Duration, Follow-Up, and Discontinuation</w:t>
      </w:r>
    </w:p>
    <w:p w:rsidR="00514390" w:rsidRPr="00514390" w:rsidRDefault="00514390" w:rsidP="00514390">
      <w:pPr>
        <w:numPr>
          <w:ilvl w:val="1"/>
          <w:numId w:val="2"/>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When starting opioid therapy for chronic pain, clinicians should prescribe immediate-release opioids instead of extended-release/long-acting (ER/LA) opioids.</w:t>
      </w:r>
    </w:p>
    <w:p w:rsidR="00514390" w:rsidRPr="00514390" w:rsidRDefault="00514390" w:rsidP="00514390">
      <w:pPr>
        <w:numPr>
          <w:ilvl w:val="1"/>
          <w:numId w:val="2"/>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When opioids are started, clinicians should prescribe the lowest effective dosage. Clinicians should use caution when prescribing opioids at any dosage, should carefully reassess evidence of individual benefits and risks when increasing dosage to ≥50 morphine milligram equivalents (MME)/day, and should avoid increasing dosage to ≥90 MME/day or carefully justify a decision to titrate dosage to ≥90 MME/day.</w:t>
      </w:r>
    </w:p>
    <w:p w:rsidR="00514390" w:rsidRPr="00514390" w:rsidRDefault="00514390" w:rsidP="00514390">
      <w:pPr>
        <w:numPr>
          <w:ilvl w:val="1"/>
          <w:numId w:val="2"/>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Long-term opioid use often begins with treatment of acute pain. When opioids are used for acute pain, clinicians should prescribe the lowest effective dose of immediate-release opioids and should prescribe no greater quantity than needed for the expected duration of pain severe enough to require opioids. Three days or less will often be sufficient; more than seven days will rarely be needed.</w:t>
      </w:r>
    </w:p>
    <w:p w:rsidR="00514390" w:rsidRPr="00514390" w:rsidRDefault="00514390" w:rsidP="00514390">
      <w:pPr>
        <w:numPr>
          <w:ilvl w:val="1"/>
          <w:numId w:val="2"/>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 xml:space="preserve">Clinicians should evaluate benefits and harms with patients within 1 to 4 weeks of starting opioid therapy for chronic pain or of dose escalation. Clinicians should evaluate benefits and harms of continued therapy with patients every 3 months or more frequently. If benefits do not </w:t>
      </w:r>
      <w:r w:rsidRPr="00514390">
        <w:rPr>
          <w:rFonts w:ascii="Helvetica" w:eastAsia="Times New Roman" w:hAnsi="Helvetica" w:cs="Helvetica"/>
          <w:color w:val="333333"/>
          <w:sz w:val="21"/>
          <w:szCs w:val="21"/>
        </w:rPr>
        <w:lastRenderedPageBreak/>
        <w:t>outweigh harms of continued opioid therapy, clinicians should optimize other therapies and work with patients to taper opioids to lower dosages or to taper and discontinue opioids.</w:t>
      </w:r>
    </w:p>
    <w:p w:rsidR="00514390" w:rsidRPr="00514390" w:rsidRDefault="00514390" w:rsidP="00514390">
      <w:pPr>
        <w:spacing w:before="150" w:after="150" w:line="450" w:lineRule="atLeast"/>
        <w:outlineLvl w:val="3"/>
        <w:rPr>
          <w:rFonts w:ascii="inherit" w:eastAsia="Times New Roman" w:hAnsi="inherit" w:cs="Helvetica"/>
          <w:b/>
          <w:bCs/>
          <w:color w:val="333333"/>
          <w:sz w:val="30"/>
          <w:szCs w:val="30"/>
        </w:rPr>
      </w:pPr>
      <w:r w:rsidRPr="00514390">
        <w:rPr>
          <w:rFonts w:ascii="Lato" w:eastAsia="Times New Roman" w:hAnsi="Lato" w:cs="Helvetica"/>
          <w:b/>
          <w:bCs/>
          <w:color w:val="333333"/>
          <w:sz w:val="30"/>
          <w:szCs w:val="30"/>
        </w:rPr>
        <w:t>Assessing Risk and Addressing Harms of Opioid Use</w:t>
      </w:r>
    </w:p>
    <w:p w:rsidR="00514390" w:rsidRPr="00514390" w:rsidRDefault="00514390" w:rsidP="00514390">
      <w:pPr>
        <w:numPr>
          <w:ilvl w:val="1"/>
          <w:numId w:val="3"/>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Before starting and periodically during continuation of opioid therapy, clinicians should evaluate risk factors for opioid-related harms. Clinicians should incorporate into the management plan strategies to mitigate risk, including considering offering naloxone when factors that increase risk for opioid overdose, such as history of overdose, history of substance use disorder, higher opioid dosages (≥50 MME/day), or concurrent benzodiazepine use, are present.</w:t>
      </w:r>
    </w:p>
    <w:p w:rsidR="00514390" w:rsidRPr="00514390" w:rsidRDefault="00514390" w:rsidP="00514390">
      <w:pPr>
        <w:numPr>
          <w:ilvl w:val="1"/>
          <w:numId w:val="3"/>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 xml:space="preserve">Clinicians should review the patient’s history of controlled substance prescriptions using state prescription drug monitoring program (PDMP) data to determine whether the patient is receiving opioid dosages or dangerous combinations that put him or her at high risk for </w:t>
      </w:r>
      <w:bookmarkStart w:id="0" w:name="_GoBack"/>
      <w:bookmarkEnd w:id="0"/>
      <w:r w:rsidRPr="00514390">
        <w:rPr>
          <w:rFonts w:ascii="Helvetica" w:eastAsia="Times New Roman" w:hAnsi="Helvetica" w:cs="Helvetica"/>
          <w:color w:val="333333"/>
          <w:sz w:val="21"/>
          <w:szCs w:val="21"/>
        </w:rPr>
        <w:t>overdose. Clinicians should review PDMP data when starting opioid therapy for chronic pain and periodically during opioid therapy for chronic pain, ranging from every prescription to every 3 months.</w:t>
      </w:r>
    </w:p>
    <w:p w:rsidR="00514390" w:rsidRPr="00514390" w:rsidRDefault="00514390" w:rsidP="00514390">
      <w:pPr>
        <w:numPr>
          <w:ilvl w:val="1"/>
          <w:numId w:val="3"/>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When prescribing opioids for chronic pain, clinicians should use urine drug testing before starting opioid therapy and consider urine drug testing at least annually to assess for prescribed medications as well as other controlled prescription drugs and illicit drugs.</w:t>
      </w:r>
    </w:p>
    <w:p w:rsidR="00514390" w:rsidRPr="00514390" w:rsidRDefault="00514390" w:rsidP="00514390">
      <w:pPr>
        <w:numPr>
          <w:ilvl w:val="1"/>
          <w:numId w:val="3"/>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Clinicians should avoid prescribing opioid pain medication and benzodiazepines concurrently whenever possible.</w:t>
      </w:r>
    </w:p>
    <w:p w:rsidR="00514390" w:rsidRPr="00514390" w:rsidRDefault="00514390" w:rsidP="00514390">
      <w:pPr>
        <w:numPr>
          <w:ilvl w:val="1"/>
          <w:numId w:val="3"/>
        </w:numPr>
        <w:spacing w:before="100" w:beforeAutospacing="1" w:after="100" w:afterAutospacing="1" w:line="375" w:lineRule="atLeast"/>
        <w:ind w:left="600"/>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Clinicians should offer or arrange evidence-based treatment (usually medication-assisted treatment with buprenorphine or methadone in combination with behavioral therapies) for patients with opioid use disorder.</w:t>
      </w:r>
    </w:p>
    <w:p w:rsidR="00514390" w:rsidRPr="00514390" w:rsidRDefault="00514390" w:rsidP="00514390">
      <w:pPr>
        <w:spacing w:after="150" w:line="375" w:lineRule="atLeast"/>
        <w:rPr>
          <w:rFonts w:ascii="Helvetica" w:eastAsia="Times New Roman" w:hAnsi="Helvetica" w:cs="Helvetica"/>
          <w:color w:val="333333"/>
          <w:sz w:val="21"/>
          <w:szCs w:val="21"/>
        </w:rPr>
      </w:pPr>
      <w:r w:rsidRPr="00514390">
        <w:rPr>
          <w:rFonts w:ascii="Helvetica" w:eastAsia="Times New Roman" w:hAnsi="Helvetica" w:cs="Helvetica"/>
          <w:color w:val="333333"/>
          <w:sz w:val="21"/>
          <w:szCs w:val="21"/>
        </w:rPr>
        <w:t>* All recommendations are category A (apply to all patients outside of active cancer treatment, palliative care, and end-of-life care) except recommendation 10 (designated category B, with individual decision making required); see full guideline for evidence ratings.</w:t>
      </w:r>
    </w:p>
    <w:p w:rsidR="002C47FC" w:rsidRDefault="002C47FC"/>
    <w:sectPr w:rsidR="002C47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67F" w:rsidRDefault="0000167F" w:rsidP="00514390">
      <w:pPr>
        <w:spacing w:after="0" w:line="240" w:lineRule="auto"/>
      </w:pPr>
      <w:r>
        <w:separator/>
      </w:r>
    </w:p>
  </w:endnote>
  <w:endnote w:type="continuationSeparator" w:id="0">
    <w:p w:rsidR="0000167F" w:rsidRDefault="0000167F" w:rsidP="0051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90" w:rsidRDefault="00514390">
    <w:pPr>
      <w:pStyle w:val="Footer"/>
    </w:pPr>
    <w:r w:rsidRPr="00514390">
      <w:t>http://www.cdc.gov/mmwr/volumes/65/rr/rr6501e1.htm#B1_down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67F" w:rsidRDefault="0000167F" w:rsidP="00514390">
      <w:pPr>
        <w:spacing w:after="0" w:line="240" w:lineRule="auto"/>
      </w:pPr>
      <w:r>
        <w:separator/>
      </w:r>
    </w:p>
  </w:footnote>
  <w:footnote w:type="continuationSeparator" w:id="0">
    <w:p w:rsidR="0000167F" w:rsidRDefault="0000167F" w:rsidP="00514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F51"/>
    <w:multiLevelType w:val="multilevel"/>
    <w:tmpl w:val="364686C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DB629F"/>
    <w:multiLevelType w:val="multilevel"/>
    <w:tmpl w:val="91446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3F190A"/>
    <w:multiLevelType w:val="multilevel"/>
    <w:tmpl w:val="9F003DDA"/>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90"/>
    <w:rsid w:val="0000167F"/>
    <w:rsid w:val="002C47FC"/>
    <w:rsid w:val="0051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4390"/>
    <w:rPr>
      <w:rFonts w:ascii="Lato" w:hAnsi="Lato" w:hint="default"/>
      <w:b/>
      <w:bCs/>
    </w:rPr>
  </w:style>
  <w:style w:type="paragraph" w:styleId="Header">
    <w:name w:val="header"/>
    <w:basedOn w:val="Normal"/>
    <w:link w:val="HeaderChar"/>
    <w:uiPriority w:val="99"/>
    <w:unhideWhenUsed/>
    <w:rsid w:val="0051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90"/>
  </w:style>
  <w:style w:type="paragraph" w:styleId="Footer">
    <w:name w:val="footer"/>
    <w:basedOn w:val="Normal"/>
    <w:link w:val="FooterChar"/>
    <w:uiPriority w:val="99"/>
    <w:unhideWhenUsed/>
    <w:rsid w:val="0051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4390"/>
    <w:rPr>
      <w:rFonts w:ascii="Lato" w:hAnsi="Lato" w:hint="default"/>
      <w:b/>
      <w:bCs/>
    </w:rPr>
  </w:style>
  <w:style w:type="paragraph" w:styleId="Header">
    <w:name w:val="header"/>
    <w:basedOn w:val="Normal"/>
    <w:link w:val="HeaderChar"/>
    <w:uiPriority w:val="99"/>
    <w:unhideWhenUsed/>
    <w:rsid w:val="0051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90"/>
  </w:style>
  <w:style w:type="paragraph" w:styleId="Footer">
    <w:name w:val="footer"/>
    <w:basedOn w:val="Normal"/>
    <w:link w:val="FooterChar"/>
    <w:uiPriority w:val="99"/>
    <w:unhideWhenUsed/>
    <w:rsid w:val="0051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79343">
      <w:bodyDiv w:val="1"/>
      <w:marLeft w:val="0"/>
      <w:marRight w:val="0"/>
      <w:marTop w:val="0"/>
      <w:marBottom w:val="0"/>
      <w:divBdr>
        <w:top w:val="none" w:sz="0" w:space="0" w:color="auto"/>
        <w:left w:val="none" w:sz="0" w:space="0" w:color="auto"/>
        <w:bottom w:val="none" w:sz="0" w:space="0" w:color="auto"/>
        <w:right w:val="none" w:sz="0" w:space="0" w:color="auto"/>
      </w:divBdr>
      <w:divsChild>
        <w:div w:id="6368012">
          <w:marLeft w:val="0"/>
          <w:marRight w:val="0"/>
          <w:marTop w:val="0"/>
          <w:marBottom w:val="0"/>
          <w:divBdr>
            <w:top w:val="single" w:sz="36" w:space="0" w:color="075290"/>
            <w:left w:val="none" w:sz="0" w:space="0" w:color="auto"/>
            <w:bottom w:val="none" w:sz="0" w:space="0" w:color="auto"/>
            <w:right w:val="none" w:sz="0" w:space="0" w:color="auto"/>
          </w:divBdr>
          <w:divsChild>
            <w:div w:id="571816273">
              <w:marLeft w:val="0"/>
              <w:marRight w:val="0"/>
              <w:marTop w:val="0"/>
              <w:marBottom w:val="0"/>
              <w:divBdr>
                <w:top w:val="none" w:sz="0" w:space="0" w:color="auto"/>
                <w:left w:val="none" w:sz="0" w:space="0" w:color="auto"/>
                <w:bottom w:val="none" w:sz="0" w:space="0" w:color="auto"/>
                <w:right w:val="none" w:sz="0" w:space="0" w:color="auto"/>
              </w:divBdr>
              <w:divsChild>
                <w:div w:id="1910383042">
                  <w:marLeft w:val="0"/>
                  <w:marRight w:val="0"/>
                  <w:marTop w:val="150"/>
                  <w:marBottom w:val="0"/>
                  <w:divBdr>
                    <w:top w:val="none" w:sz="0" w:space="0" w:color="auto"/>
                    <w:left w:val="none" w:sz="0" w:space="0" w:color="auto"/>
                    <w:bottom w:val="none" w:sz="0" w:space="0" w:color="auto"/>
                    <w:right w:val="none" w:sz="0" w:space="0" w:color="auto"/>
                  </w:divBdr>
                  <w:divsChild>
                    <w:div w:id="460852665">
                      <w:marLeft w:val="-150"/>
                      <w:marRight w:val="0"/>
                      <w:marTop w:val="0"/>
                      <w:marBottom w:val="0"/>
                      <w:divBdr>
                        <w:top w:val="none" w:sz="0" w:space="0" w:color="auto"/>
                        <w:left w:val="none" w:sz="0" w:space="0" w:color="auto"/>
                        <w:bottom w:val="none" w:sz="0" w:space="0" w:color="auto"/>
                        <w:right w:val="none" w:sz="0" w:space="0" w:color="auto"/>
                      </w:divBdr>
                      <w:divsChild>
                        <w:div w:id="1681468083">
                          <w:marLeft w:val="0"/>
                          <w:marRight w:val="0"/>
                          <w:marTop w:val="0"/>
                          <w:marBottom w:val="0"/>
                          <w:divBdr>
                            <w:top w:val="none" w:sz="0" w:space="0" w:color="auto"/>
                            <w:left w:val="none" w:sz="0" w:space="0" w:color="auto"/>
                            <w:bottom w:val="none" w:sz="0" w:space="0" w:color="auto"/>
                            <w:right w:val="none" w:sz="0" w:space="0" w:color="auto"/>
                          </w:divBdr>
                          <w:divsChild>
                            <w:div w:id="1182742344">
                              <w:marLeft w:val="0"/>
                              <w:marRight w:val="0"/>
                              <w:marTop w:val="0"/>
                              <w:marBottom w:val="0"/>
                              <w:divBdr>
                                <w:top w:val="none" w:sz="0" w:space="0" w:color="auto"/>
                                <w:left w:val="none" w:sz="0" w:space="0" w:color="auto"/>
                                <w:bottom w:val="none" w:sz="0" w:space="0" w:color="auto"/>
                                <w:right w:val="none" w:sz="0" w:space="0" w:color="auto"/>
                              </w:divBdr>
                              <w:divsChild>
                                <w:div w:id="167329885">
                                  <w:marLeft w:val="0"/>
                                  <w:marRight w:val="0"/>
                                  <w:marTop w:val="0"/>
                                  <w:marBottom w:val="0"/>
                                  <w:divBdr>
                                    <w:top w:val="none" w:sz="0" w:space="0" w:color="auto"/>
                                    <w:left w:val="none" w:sz="0" w:space="0" w:color="auto"/>
                                    <w:bottom w:val="none" w:sz="0" w:space="0" w:color="auto"/>
                                    <w:right w:val="none" w:sz="0" w:space="0" w:color="auto"/>
                                  </w:divBdr>
                                  <w:divsChild>
                                    <w:div w:id="8646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KT</cp:lastModifiedBy>
  <cp:revision>1</cp:revision>
  <dcterms:created xsi:type="dcterms:W3CDTF">2016-10-09T23:42:00Z</dcterms:created>
  <dcterms:modified xsi:type="dcterms:W3CDTF">2016-10-09T23:45:00Z</dcterms:modified>
</cp:coreProperties>
</file>