
<file path=[Content_Types].xml><?xml version="1.0" encoding="utf-8"?>
<Types xmlns="http://schemas.openxmlformats.org/package/2006/content-types">
  <Default Extension="A486328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1"/>
        <w:tblW w:w="10302" w:type="dxa"/>
        <w:tblLook w:val="0420" w:firstRow="1" w:lastRow="0" w:firstColumn="0" w:lastColumn="0" w:noHBand="0" w:noVBand="1"/>
      </w:tblPr>
      <w:tblGrid>
        <w:gridCol w:w="10302"/>
      </w:tblGrid>
      <w:tr w:rsidR="00564D94" w:rsidRPr="00380737" w14:paraId="277820A4" w14:textId="77777777" w:rsidTr="00106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</w:trPr>
        <w:tc>
          <w:tcPr>
            <w:tcW w:w="10302" w:type="dxa"/>
            <w:hideMark/>
          </w:tcPr>
          <w:p w14:paraId="0E2AFC6E" w14:textId="77777777" w:rsidR="001F6561" w:rsidRPr="00380737" w:rsidRDefault="001F6561" w:rsidP="00DF674A">
            <w:pPr>
              <w:rPr>
                <w:bCs w:val="0"/>
                <w:sz w:val="44"/>
                <w:szCs w:val="32"/>
              </w:rPr>
            </w:pPr>
            <w:r w:rsidRPr="00380737">
              <w:rPr>
                <w:bCs w:val="0"/>
                <w:sz w:val="44"/>
                <w:szCs w:val="32"/>
              </w:rPr>
              <w:t xml:space="preserve">Test Name:   </w:t>
            </w:r>
            <w:r w:rsidR="0062379B">
              <w:rPr>
                <w:bCs w:val="0"/>
                <w:sz w:val="44"/>
                <w:szCs w:val="32"/>
              </w:rPr>
              <w:t>M. tuberculosis PCR</w:t>
            </w:r>
            <w:r>
              <w:rPr>
                <w:bCs w:val="0"/>
                <w:sz w:val="44"/>
                <w:szCs w:val="32"/>
              </w:rPr>
              <w:t xml:space="preserve"> </w:t>
            </w:r>
            <w:r w:rsidR="0062379B">
              <w:rPr>
                <w:bCs w:val="0"/>
                <w:sz w:val="44"/>
                <w:szCs w:val="32"/>
              </w:rPr>
              <w:t>(TBPCR)</w:t>
            </w:r>
            <w:r w:rsidRPr="00380737">
              <w:rPr>
                <w:bCs w:val="0"/>
                <w:sz w:val="44"/>
                <w:szCs w:val="32"/>
              </w:rPr>
              <w:t xml:space="preserve">                                                     </w:t>
            </w:r>
          </w:p>
          <w:p w14:paraId="2222ADF4" w14:textId="05369E0A" w:rsidR="001F6561" w:rsidRPr="00380737" w:rsidRDefault="001F6561" w:rsidP="00DF674A">
            <w:pPr>
              <w:rPr>
                <w:sz w:val="20"/>
                <w:szCs w:val="20"/>
              </w:rPr>
            </w:pPr>
            <w:r w:rsidRPr="00380737">
              <w:rPr>
                <w:b w:val="0"/>
                <w:sz w:val="20"/>
                <w:szCs w:val="20"/>
              </w:rPr>
              <w:t xml:space="preserve">Test Change Effective Date : </w:t>
            </w:r>
            <w:r w:rsidR="00106CD0">
              <w:rPr>
                <w:b w:val="0"/>
                <w:sz w:val="20"/>
                <w:szCs w:val="20"/>
              </w:rPr>
              <w:t>02</w:t>
            </w:r>
            <w:r w:rsidRPr="00380737">
              <w:rPr>
                <w:b w:val="0"/>
                <w:sz w:val="20"/>
                <w:szCs w:val="20"/>
              </w:rPr>
              <w:t>/</w:t>
            </w:r>
            <w:r w:rsidR="00106CD0">
              <w:rPr>
                <w:b w:val="0"/>
                <w:sz w:val="20"/>
                <w:szCs w:val="20"/>
              </w:rPr>
              <w:t>20</w:t>
            </w:r>
            <w:r w:rsidRPr="00380737">
              <w:rPr>
                <w:b w:val="0"/>
                <w:sz w:val="20"/>
                <w:szCs w:val="20"/>
              </w:rPr>
              <w:t>/</w:t>
            </w:r>
            <w:r w:rsidR="00106CD0">
              <w:rPr>
                <w:b w:val="0"/>
                <w:sz w:val="20"/>
                <w:szCs w:val="20"/>
              </w:rPr>
              <w:t>2019</w:t>
            </w:r>
            <w:r w:rsidRPr="00380737">
              <w:rPr>
                <w:b w:val="0"/>
                <w:sz w:val="20"/>
                <w:szCs w:val="20"/>
              </w:rPr>
              <w:t xml:space="preserve">                                            </w:t>
            </w:r>
            <w:r>
              <w:rPr>
                <w:b w:val="0"/>
                <w:sz w:val="20"/>
                <w:szCs w:val="20"/>
              </w:rPr>
              <w:t xml:space="preserve">                     </w:t>
            </w:r>
            <w:r w:rsidR="00B41A3B">
              <w:rPr>
                <w:b w:val="0"/>
                <w:sz w:val="20"/>
                <w:szCs w:val="20"/>
              </w:rPr>
              <w:t>Memo Release Date : 2/11/2019</w:t>
            </w:r>
            <w:r w:rsidRPr="00380737"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</w:tc>
      </w:tr>
      <w:tr w:rsidR="00564D94" w:rsidRPr="00380737" w14:paraId="2C749568" w14:textId="77777777" w:rsidTr="0010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2"/>
        </w:trPr>
        <w:tc>
          <w:tcPr>
            <w:tcW w:w="10302" w:type="dxa"/>
            <w:hideMark/>
          </w:tcPr>
          <w:p w14:paraId="4688F37E" w14:textId="77777777" w:rsidR="001F6561" w:rsidRPr="00DF674A" w:rsidRDefault="001F6561" w:rsidP="00DF674A">
            <w:pPr>
              <w:rPr>
                <w:b/>
                <w:sz w:val="28"/>
                <w:szCs w:val="28"/>
                <w:u w:val="single"/>
              </w:rPr>
            </w:pPr>
            <w:r w:rsidRPr="00DF674A">
              <w:rPr>
                <w:b/>
                <w:sz w:val="28"/>
                <w:szCs w:val="28"/>
                <w:u w:val="single"/>
              </w:rPr>
              <w:t xml:space="preserve">Test background </w:t>
            </w:r>
            <w:bookmarkStart w:id="0" w:name="_GoBack"/>
            <w:bookmarkEnd w:id="0"/>
          </w:p>
          <w:p w14:paraId="0EF2004B" w14:textId="77777777" w:rsidR="007E3A0D" w:rsidRDefault="007E3A0D" w:rsidP="007E3A0D">
            <w:pPr>
              <w:pStyle w:val="ListParagraph"/>
              <w:rPr>
                <w:rFonts w:asciiTheme="minorHAnsi" w:hAnsiTheme="minorHAnsi"/>
              </w:rPr>
            </w:pPr>
          </w:p>
          <w:p w14:paraId="7501F6B7" w14:textId="77777777" w:rsidR="001F6561" w:rsidRPr="007E3A0D" w:rsidRDefault="007E3A0D" w:rsidP="00DF67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7E3A0D">
              <w:rPr>
                <w:rFonts w:asciiTheme="minorHAnsi" w:hAnsiTheme="minorHAnsi"/>
                <w:b/>
              </w:rPr>
              <w:t>Intended Use:</w:t>
            </w:r>
            <w:r w:rsidRPr="007E3A0D">
              <w:rPr>
                <w:rFonts w:asciiTheme="minorHAnsi" w:hAnsiTheme="minorHAnsi"/>
              </w:rPr>
              <w:t xml:space="preserve"> </w:t>
            </w:r>
            <w:r w:rsidR="0062379B" w:rsidRPr="007E3A0D">
              <w:rPr>
                <w:rFonts w:asciiTheme="minorHAnsi" w:hAnsiTheme="minorHAnsi"/>
              </w:rPr>
              <w:t>Rapid molecular assay for the detection of M</w:t>
            </w:r>
            <w:r w:rsidR="00DF674A" w:rsidRPr="007E3A0D">
              <w:rPr>
                <w:rFonts w:asciiTheme="minorHAnsi" w:hAnsiTheme="minorHAnsi"/>
              </w:rPr>
              <w:t>ycobacterium</w:t>
            </w:r>
            <w:r w:rsidR="0062379B" w:rsidRPr="007E3A0D">
              <w:rPr>
                <w:rFonts w:asciiTheme="minorHAnsi" w:hAnsiTheme="minorHAnsi"/>
              </w:rPr>
              <w:t xml:space="preserve"> tuberculosis complex in expectorated or induced sputum. The assay also detects rifampin resistance associated mutations of the </w:t>
            </w:r>
            <w:proofErr w:type="spellStart"/>
            <w:r w:rsidR="0062379B" w:rsidRPr="007E3A0D">
              <w:rPr>
                <w:rFonts w:asciiTheme="minorHAnsi" w:hAnsiTheme="minorHAnsi"/>
                <w:i/>
              </w:rPr>
              <w:t>rpoB</w:t>
            </w:r>
            <w:proofErr w:type="spellEnd"/>
            <w:r w:rsidR="0062379B" w:rsidRPr="007E3A0D">
              <w:rPr>
                <w:rFonts w:asciiTheme="minorHAnsi" w:hAnsiTheme="minorHAnsi"/>
              </w:rPr>
              <w:t xml:space="preserve"> gene. </w:t>
            </w:r>
          </w:p>
          <w:p w14:paraId="6762B088" w14:textId="47A9FAF2" w:rsidR="00DF674A" w:rsidRPr="007E3A0D" w:rsidRDefault="007E3A0D" w:rsidP="00DF67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7E3A0D">
              <w:rPr>
                <w:rFonts w:asciiTheme="minorHAnsi" w:hAnsiTheme="minorHAnsi"/>
                <w:b/>
              </w:rPr>
              <w:t>Target Population:</w:t>
            </w:r>
            <w:r w:rsidRPr="007E3A0D">
              <w:rPr>
                <w:rFonts w:asciiTheme="minorHAnsi" w:hAnsiTheme="minorHAnsi"/>
              </w:rPr>
              <w:t xml:space="preserve"> </w:t>
            </w:r>
            <w:r w:rsidR="0062379B" w:rsidRPr="007E3A0D">
              <w:rPr>
                <w:rFonts w:asciiTheme="minorHAnsi" w:hAnsiTheme="minorHAnsi"/>
              </w:rPr>
              <w:t xml:space="preserve">TBPCR is intended for use with specimens from patients with clinical suspicion of tuberculosis (TB) and who have received no anti-tuberculosis therapy, or less than three days of therapy. This assay is not intended as a replacement for mycobacterial culture. TBPCR will be available </w:t>
            </w:r>
            <w:r w:rsidR="00E52C3B" w:rsidRPr="007E3A0D">
              <w:rPr>
                <w:rFonts w:asciiTheme="minorHAnsi" w:hAnsiTheme="minorHAnsi"/>
                <w:b/>
                <w:u w:val="single"/>
              </w:rPr>
              <w:t>only</w:t>
            </w:r>
            <w:r w:rsidR="00E52C3B" w:rsidRPr="007E3A0D">
              <w:rPr>
                <w:rFonts w:asciiTheme="minorHAnsi" w:hAnsiTheme="minorHAnsi"/>
              </w:rPr>
              <w:t xml:space="preserve"> </w:t>
            </w:r>
            <w:r w:rsidR="0062379B" w:rsidRPr="007E3A0D">
              <w:rPr>
                <w:rFonts w:asciiTheme="minorHAnsi" w:hAnsiTheme="minorHAnsi"/>
              </w:rPr>
              <w:t xml:space="preserve">for patients placed in airborne isolation with clinical suspicion of M. tuberculosis infection. </w:t>
            </w:r>
            <w:r w:rsidR="00A81571">
              <w:rPr>
                <w:rFonts w:asciiTheme="minorHAnsi" w:hAnsiTheme="minorHAnsi"/>
              </w:rPr>
              <w:t xml:space="preserve">Specimens from patients not in airborne isolation will be rejected for TBPCR. </w:t>
            </w:r>
          </w:p>
          <w:p w14:paraId="501B3A88" w14:textId="7152509C" w:rsidR="00DF674A" w:rsidRPr="00834495" w:rsidRDefault="00DF674A" w:rsidP="00DF67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color w:val="FF0000"/>
              </w:rPr>
            </w:pPr>
            <w:r w:rsidRPr="007E3A0D">
              <w:rPr>
                <w:rFonts w:asciiTheme="minorHAnsi" w:hAnsiTheme="minorHAnsi"/>
                <w:b/>
              </w:rPr>
              <w:t>Test Utilization:</w:t>
            </w:r>
            <w:r w:rsidRPr="007E3A0D">
              <w:rPr>
                <w:rFonts w:asciiTheme="minorHAnsi" w:hAnsiTheme="minorHAnsi"/>
              </w:rPr>
              <w:t xml:space="preserve"> </w:t>
            </w:r>
            <w:r w:rsidR="00075A83">
              <w:rPr>
                <w:rFonts w:asciiTheme="minorHAnsi" w:hAnsiTheme="minorHAnsi"/>
              </w:rPr>
              <w:t xml:space="preserve">An order for M. tuberculosis PCR in EPIC will trigger two separate </w:t>
            </w:r>
            <w:r w:rsidR="00B85BB7">
              <w:rPr>
                <w:rFonts w:asciiTheme="minorHAnsi" w:hAnsiTheme="minorHAnsi"/>
              </w:rPr>
              <w:t xml:space="preserve">stat </w:t>
            </w:r>
            <w:r w:rsidR="00075A83">
              <w:rPr>
                <w:rFonts w:asciiTheme="minorHAnsi" w:hAnsiTheme="minorHAnsi"/>
              </w:rPr>
              <w:t xml:space="preserve">orders for sputum samples 8hrs apart. </w:t>
            </w:r>
            <w:r w:rsidR="00A81571">
              <w:rPr>
                <w:rFonts w:asciiTheme="minorHAnsi" w:hAnsiTheme="minorHAnsi"/>
              </w:rPr>
              <w:t xml:space="preserve">Preferably one of the specimens should be an early morning specimen. </w:t>
            </w:r>
            <w:r w:rsidR="00F152A9" w:rsidRPr="00F152A9">
              <w:rPr>
                <w:rFonts w:asciiTheme="minorHAnsi" w:hAnsiTheme="minorHAnsi"/>
                <w:b/>
                <w:u w:val="single"/>
              </w:rPr>
              <w:t>TBPCR should not be used to determine whether to place patients into airborne isolation</w:t>
            </w:r>
            <w:r w:rsidR="00A81571">
              <w:rPr>
                <w:rFonts w:asciiTheme="minorHAnsi" w:hAnsiTheme="minorHAnsi"/>
                <w:b/>
                <w:u w:val="single"/>
              </w:rPr>
              <w:t xml:space="preserve"> but to determine whether they can be removed from airborne isolation</w:t>
            </w:r>
            <w:r w:rsidR="00F152A9" w:rsidRPr="00F152A9">
              <w:rPr>
                <w:rFonts w:asciiTheme="minorHAnsi" w:hAnsiTheme="minorHAnsi"/>
                <w:b/>
                <w:u w:val="single"/>
              </w:rPr>
              <w:t>.</w:t>
            </w:r>
            <w:r w:rsidR="00F152A9">
              <w:rPr>
                <w:rFonts w:asciiTheme="minorHAnsi" w:hAnsiTheme="minorHAnsi"/>
              </w:rPr>
              <w:t xml:space="preserve"> </w:t>
            </w:r>
            <w:r w:rsidRPr="007E3A0D">
              <w:rPr>
                <w:rFonts w:asciiTheme="minorHAnsi" w:hAnsiTheme="minorHAnsi"/>
              </w:rPr>
              <w:t>TBPCR will also be reflexively performed on patients with Acid Fast Bacilli (AFB) smear positive sputum specimens</w:t>
            </w:r>
            <w:r w:rsidR="007E3A0D">
              <w:rPr>
                <w:rFonts w:asciiTheme="minorHAnsi" w:hAnsiTheme="minorHAnsi"/>
              </w:rPr>
              <w:t xml:space="preserve"> with no prior history of AFB infection. </w:t>
            </w:r>
          </w:p>
          <w:p w14:paraId="3FA1472D" w14:textId="5AD9B910" w:rsidR="00FB4B71" w:rsidRPr="007E3A0D" w:rsidRDefault="007E3A0D" w:rsidP="00DF67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7E3A0D">
              <w:rPr>
                <w:rFonts w:asciiTheme="minorHAnsi" w:hAnsiTheme="minorHAnsi"/>
                <w:b/>
              </w:rPr>
              <w:t>Limitations:</w:t>
            </w:r>
            <w:r>
              <w:rPr>
                <w:rFonts w:asciiTheme="minorHAnsi" w:hAnsiTheme="minorHAnsi"/>
                <w:b/>
                <w:u w:val="single"/>
              </w:rPr>
              <w:t xml:space="preserve"> </w:t>
            </w:r>
            <w:r w:rsidRPr="007E3A0D">
              <w:rPr>
                <w:rFonts w:asciiTheme="minorHAnsi" w:hAnsiTheme="minorHAnsi"/>
              </w:rPr>
              <w:t>Negative TBPCR does not rule out tuberculosis infection in AFB smear negative patients with clinical suspicion of TB infection.</w:t>
            </w:r>
            <w:r>
              <w:rPr>
                <w:rFonts w:asciiTheme="minorHAnsi" w:hAnsiTheme="minorHAnsi"/>
              </w:rPr>
              <w:t xml:space="preserve"> </w:t>
            </w:r>
            <w:r w:rsidR="00FB4B71" w:rsidRPr="007E3A0D">
              <w:rPr>
                <w:rFonts w:asciiTheme="minorHAnsi" w:hAnsiTheme="minorHAnsi"/>
              </w:rPr>
              <w:t>TBPCR must always be used in conjunction with AFB culture.</w:t>
            </w:r>
            <w:r w:rsidR="00E2476B">
              <w:rPr>
                <w:rFonts w:asciiTheme="minorHAnsi" w:hAnsiTheme="minorHAnsi"/>
              </w:rPr>
              <w:t xml:space="preserve"> </w:t>
            </w:r>
            <w:r w:rsidR="00E2476B" w:rsidRPr="00EF7B41">
              <w:rPr>
                <w:rFonts w:asciiTheme="minorHAnsi" w:hAnsiTheme="minorHAnsi"/>
                <w:u w:val="single"/>
              </w:rPr>
              <w:t>Three AFB</w:t>
            </w:r>
            <w:r w:rsidR="008D71D4" w:rsidRPr="00EF7B41">
              <w:rPr>
                <w:rFonts w:asciiTheme="minorHAnsi" w:hAnsiTheme="minorHAnsi"/>
                <w:u w:val="single"/>
              </w:rPr>
              <w:t xml:space="preserve"> cultures on sputum specimens 8</w:t>
            </w:r>
            <w:r w:rsidR="00E2476B" w:rsidRPr="00EF7B41">
              <w:rPr>
                <w:rFonts w:asciiTheme="minorHAnsi" w:hAnsiTheme="minorHAnsi"/>
                <w:u w:val="single"/>
              </w:rPr>
              <w:t>hrs apart are still required</w:t>
            </w:r>
            <w:r w:rsidR="00E2476B">
              <w:rPr>
                <w:rFonts w:asciiTheme="minorHAnsi" w:hAnsiTheme="minorHAnsi"/>
              </w:rPr>
              <w:t xml:space="preserve"> to rule out TB infection</w:t>
            </w:r>
            <w:r w:rsidR="00EF7B41">
              <w:rPr>
                <w:rFonts w:asciiTheme="minorHAnsi" w:hAnsiTheme="minorHAnsi"/>
              </w:rPr>
              <w:t xml:space="preserve"> – TBPCR can be used to remove patients from airborne isolation</w:t>
            </w:r>
            <w:r w:rsidR="00994074">
              <w:rPr>
                <w:rFonts w:asciiTheme="minorHAnsi" w:hAnsiTheme="minorHAnsi"/>
              </w:rPr>
              <w:t xml:space="preserve"> but does not rule out TB infection</w:t>
            </w:r>
            <w:r w:rsidR="009D6925">
              <w:rPr>
                <w:rFonts w:asciiTheme="minorHAnsi" w:hAnsiTheme="minorHAnsi"/>
              </w:rPr>
              <w:t xml:space="preserve"> in AFB smear negative patients</w:t>
            </w:r>
            <w:r w:rsidR="00E2476B">
              <w:rPr>
                <w:rFonts w:asciiTheme="minorHAnsi" w:hAnsiTheme="minorHAnsi"/>
              </w:rPr>
              <w:t xml:space="preserve">. </w:t>
            </w:r>
            <w:r w:rsidR="00834495">
              <w:rPr>
                <w:rFonts w:asciiTheme="minorHAnsi" w:hAnsiTheme="minorHAnsi"/>
              </w:rPr>
              <w:t xml:space="preserve">TBPCR cannot be used to monitor response to therapy. </w:t>
            </w:r>
          </w:p>
          <w:p w14:paraId="29346609" w14:textId="589DE5DC" w:rsidR="001F6561" w:rsidRPr="007E3A0D" w:rsidRDefault="00FB4B71" w:rsidP="00DF67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7E3A0D">
              <w:rPr>
                <w:rFonts w:asciiTheme="minorHAnsi" w:hAnsiTheme="minorHAnsi"/>
              </w:rPr>
              <w:t>TBPCR will be performed at HFHS Core Microbiology laboratory</w:t>
            </w:r>
            <w:r w:rsidR="00A2662D" w:rsidRPr="007E3A0D">
              <w:rPr>
                <w:rFonts w:asciiTheme="minorHAnsi" w:hAnsiTheme="minorHAnsi"/>
              </w:rPr>
              <w:t xml:space="preserve"> 7 days/week between 7am -9pm</w:t>
            </w:r>
            <w:r w:rsidR="00A81571">
              <w:rPr>
                <w:rFonts w:asciiTheme="minorHAnsi" w:hAnsiTheme="minorHAnsi"/>
              </w:rPr>
              <w:t xml:space="preserve"> although specimens will be accepted 24/7</w:t>
            </w:r>
            <w:r w:rsidR="00A2662D" w:rsidRPr="007E3A0D">
              <w:rPr>
                <w:rFonts w:asciiTheme="minorHAnsi" w:hAnsiTheme="minorHAnsi"/>
              </w:rPr>
              <w:t>. Results will typ</w:t>
            </w:r>
            <w:r w:rsidR="00834495">
              <w:rPr>
                <w:rFonts w:asciiTheme="minorHAnsi" w:hAnsiTheme="minorHAnsi"/>
              </w:rPr>
              <w:t xml:space="preserve">ically be available in 3-4 hrs. Positive results will be communicated as a critical value. </w:t>
            </w:r>
          </w:p>
          <w:p w14:paraId="5A3B3532" w14:textId="77777777" w:rsidR="001F6561" w:rsidRPr="00A2662D" w:rsidRDefault="001F6561" w:rsidP="00A2662D">
            <w:pPr>
              <w:rPr>
                <w:sz w:val="20"/>
                <w:szCs w:val="20"/>
              </w:rPr>
            </w:pPr>
          </w:p>
        </w:tc>
      </w:tr>
      <w:tr w:rsidR="00564D94" w:rsidRPr="00380737" w14:paraId="522BCB6C" w14:textId="77777777" w:rsidTr="00106C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tcW w:w="10302" w:type="dxa"/>
            <w:hideMark/>
          </w:tcPr>
          <w:p w14:paraId="0F94933F" w14:textId="77777777" w:rsidR="001F6561" w:rsidRDefault="001F6561" w:rsidP="00DF674A">
            <w:pPr>
              <w:rPr>
                <w:b/>
                <w:sz w:val="24"/>
                <w:szCs w:val="20"/>
                <w:u w:val="single"/>
              </w:rPr>
            </w:pPr>
            <w:r w:rsidRPr="007A640C">
              <w:rPr>
                <w:b/>
                <w:sz w:val="24"/>
                <w:szCs w:val="20"/>
                <w:u w:val="single"/>
              </w:rPr>
              <w:t>Link(s) To Medical Literature:</w:t>
            </w:r>
          </w:p>
          <w:p w14:paraId="51E190E8" w14:textId="77777777" w:rsidR="007B45EB" w:rsidRDefault="007B45EB" w:rsidP="00DF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A63">
              <w:rPr>
                <w:sz w:val="24"/>
                <w:szCs w:val="20"/>
              </w:rPr>
              <w:t xml:space="preserve">1; </w:t>
            </w:r>
            <w:r w:rsidRPr="00720A63">
              <w:rPr>
                <w:rFonts w:ascii="Times New Roman" w:hAnsi="Times New Roman" w:cs="Times New Roman"/>
                <w:sz w:val="24"/>
                <w:szCs w:val="24"/>
              </w:rPr>
              <w:t xml:space="preserve">Marlowe et </w:t>
            </w:r>
            <w:r w:rsidR="00720A63" w:rsidRPr="00720A63">
              <w:rPr>
                <w:rFonts w:ascii="Times New Roman" w:hAnsi="Times New Roman" w:cs="Times New Roman"/>
                <w:sz w:val="24"/>
                <w:szCs w:val="24"/>
              </w:rPr>
              <w:t>al, JCM Apr. 2011, p. 1621–1623</w:t>
            </w:r>
          </w:p>
          <w:p w14:paraId="5580F6E3" w14:textId="77777777" w:rsidR="006130C5" w:rsidRDefault="006130C5" w:rsidP="00DF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2; Consensus statement on the use of </w:t>
            </w:r>
            <w:r w:rsidR="00564D94">
              <w:rPr>
                <w:rFonts w:ascii="Times New Roman" w:hAnsi="Times New Roman" w:cs="Times New Roman"/>
                <w:sz w:val="24"/>
                <w:szCs w:val="24"/>
              </w:rPr>
              <w:t xml:space="preserve">Cepheid </w:t>
            </w:r>
            <w:proofErr w:type="spellStart"/>
            <w:r w:rsidR="00564D94">
              <w:rPr>
                <w:rFonts w:ascii="Times New Roman" w:hAnsi="Times New Roman" w:cs="Times New Roman"/>
                <w:sz w:val="24"/>
                <w:szCs w:val="24"/>
              </w:rPr>
              <w:t>Xpert</w:t>
            </w:r>
            <w:proofErr w:type="spellEnd"/>
            <w:r w:rsidR="00564D94">
              <w:rPr>
                <w:rFonts w:ascii="Times New Roman" w:hAnsi="Times New Roman" w:cs="Times New Roman"/>
                <w:sz w:val="24"/>
                <w:szCs w:val="24"/>
              </w:rPr>
              <w:t xml:space="preserve"> MTB/RIF assay in making decisions to discontinue airborne isolation precautions in healthcare settings. </w:t>
            </w:r>
            <w:hyperlink r:id="rId7" w:history="1">
              <w:r w:rsidR="00564D94" w:rsidRPr="00D2715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http://www.tbcontrollers.org/docs/resources/NTCA_APHL_GeneXpert_Consensus_Statement_Final.pdf</w:t>
              </w:r>
            </w:hyperlink>
          </w:p>
          <w:p w14:paraId="4F8C3DCD" w14:textId="77777777" w:rsidR="001F6561" w:rsidRPr="007A640C" w:rsidRDefault="001F6561" w:rsidP="00DF674A">
            <w:pPr>
              <w:rPr>
                <w:sz w:val="20"/>
                <w:szCs w:val="20"/>
              </w:rPr>
            </w:pPr>
          </w:p>
        </w:tc>
      </w:tr>
      <w:tr w:rsidR="00564D94" w:rsidRPr="00380737" w14:paraId="70ECF68A" w14:textId="77777777" w:rsidTr="0010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6"/>
        </w:trPr>
        <w:tc>
          <w:tcPr>
            <w:tcW w:w="10302" w:type="dxa"/>
          </w:tcPr>
          <w:p w14:paraId="7527C1ED" w14:textId="77777777" w:rsidR="001F6561" w:rsidRPr="00DF49AC" w:rsidRDefault="001F6561" w:rsidP="00DF674A">
            <w:pPr>
              <w:rPr>
                <w:b/>
                <w:sz w:val="24"/>
                <w:szCs w:val="20"/>
                <w:u w:val="single"/>
              </w:rPr>
            </w:pPr>
            <w:r w:rsidRPr="00DF49AC">
              <w:rPr>
                <w:b/>
                <w:sz w:val="24"/>
                <w:szCs w:val="20"/>
                <w:u w:val="single"/>
              </w:rPr>
              <w:t>Report Content:</w:t>
            </w:r>
          </w:p>
          <w:p w14:paraId="11479D2F" w14:textId="77777777" w:rsidR="00A2662D" w:rsidRDefault="00A2662D" w:rsidP="00A2662D">
            <w:pPr>
              <w:pStyle w:val="NoSpacing"/>
            </w:pPr>
          </w:p>
          <w:p w14:paraId="0365BFC3" w14:textId="77777777" w:rsidR="00A2662D" w:rsidRDefault="00A2662D" w:rsidP="00A2662D">
            <w:pPr>
              <w:pStyle w:val="NoSpacing"/>
            </w:pPr>
            <w:r>
              <w:t>TBPCR    M tuberculosis PCR</w:t>
            </w:r>
          </w:p>
          <w:p w14:paraId="717A4B57" w14:textId="77777777" w:rsidR="00A2662D" w:rsidRDefault="00A2662D" w:rsidP="00A2662D">
            <w:pPr>
              <w:pStyle w:val="NoSpacing"/>
            </w:pPr>
            <w:r>
              <w:t>SPTB         Specimen type                               SPUTUM</w:t>
            </w:r>
          </w:p>
          <w:p w14:paraId="7BA94EF3" w14:textId="77777777" w:rsidR="00A2662D" w:rsidRDefault="00A2662D" w:rsidP="00A2662D">
            <w:pPr>
              <w:pStyle w:val="NoSpacing"/>
            </w:pPr>
            <w:r>
              <w:t>TBRSLT     M tuberculosis complex DNA     DETECTED</w:t>
            </w:r>
          </w:p>
          <w:p w14:paraId="2946B458" w14:textId="77777777" w:rsidR="00A2662D" w:rsidRDefault="00A2662D" w:rsidP="00A2662D">
            <w:pPr>
              <w:pStyle w:val="NoSpacing"/>
            </w:pPr>
            <w:r>
              <w:t>RIFRES      Rifampin Resistance                     DETECTED</w:t>
            </w:r>
          </w:p>
          <w:p w14:paraId="34B55A08" w14:textId="41FDE7B3" w:rsidR="00A2662D" w:rsidRDefault="00A2662D" w:rsidP="00106C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lastRenderedPageBreak/>
              <w:t xml:space="preserve">TBCMT      Comment                                      </w:t>
            </w:r>
            <w:r w:rsidRPr="0000607B">
              <w:rPr>
                <w:rFonts w:cs="Arial"/>
                <w:b/>
              </w:rPr>
              <w:t>Rifampin resistance is often an indication of multidrug resistance to tuberculosis (MDR TB), which is defined as resistance to at least rifampin (RIF) and isoniazid (INH).</w:t>
            </w:r>
            <w:r>
              <w:rPr>
                <w:rFonts w:cs="Arial"/>
                <w:b/>
              </w:rPr>
              <w:t xml:space="preserve"> </w:t>
            </w:r>
            <w:r w:rsidRPr="0000607B">
              <w:rPr>
                <w:rFonts w:cs="Arial"/>
                <w:b/>
              </w:rPr>
              <w:t xml:space="preserve">Test performed by </w:t>
            </w:r>
            <w:proofErr w:type="spellStart"/>
            <w:r w:rsidRPr="0000607B">
              <w:rPr>
                <w:rFonts w:cs="Arial"/>
                <w:b/>
              </w:rPr>
              <w:t>GeneXpert</w:t>
            </w:r>
            <w:proofErr w:type="spellEnd"/>
            <w:r w:rsidRPr="0000607B">
              <w:rPr>
                <w:rFonts w:cs="Arial"/>
                <w:b/>
              </w:rPr>
              <w:t xml:space="preserve"> real time PCR</w:t>
            </w:r>
          </w:p>
          <w:p w14:paraId="2C4BBF0C" w14:textId="77777777" w:rsidR="001F6561" w:rsidRPr="007A640C" w:rsidRDefault="001F6561" w:rsidP="00DF674A">
            <w:pPr>
              <w:rPr>
                <w:sz w:val="20"/>
                <w:szCs w:val="20"/>
              </w:rPr>
            </w:pPr>
          </w:p>
        </w:tc>
      </w:tr>
      <w:tr w:rsidR="00564D94" w:rsidRPr="00380737" w14:paraId="05662F03" w14:textId="77777777" w:rsidTr="00106C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</w:trPr>
        <w:tc>
          <w:tcPr>
            <w:tcW w:w="10302" w:type="dxa"/>
            <w:hideMark/>
          </w:tcPr>
          <w:p w14:paraId="194B6E38" w14:textId="77777777" w:rsidR="001F6561" w:rsidRPr="007A640C" w:rsidRDefault="001F6561" w:rsidP="00DF674A">
            <w:pPr>
              <w:rPr>
                <w:b/>
                <w:sz w:val="24"/>
                <w:szCs w:val="20"/>
                <w:u w:val="single"/>
              </w:rPr>
            </w:pPr>
            <w:r w:rsidRPr="007A640C">
              <w:rPr>
                <w:b/>
                <w:sz w:val="24"/>
                <w:szCs w:val="20"/>
                <w:u w:val="single"/>
              </w:rPr>
              <w:lastRenderedPageBreak/>
              <w:t xml:space="preserve">Result Interpretation </w:t>
            </w:r>
          </w:p>
          <w:p w14:paraId="12E77A01" w14:textId="2AD48EC4" w:rsidR="00A81571" w:rsidRDefault="00A81571" w:rsidP="007D4FF4">
            <w:pPr>
              <w:pStyle w:val="ListParagraph"/>
              <w:numPr>
                <w:ilvl w:val="0"/>
                <w:numId w:val="1"/>
              </w:numPr>
            </w:pPr>
            <w:r w:rsidRPr="007E3A0D">
              <w:rPr>
                <w:rFonts w:asciiTheme="minorHAnsi" w:hAnsiTheme="minorHAnsi"/>
              </w:rPr>
              <w:t>Use two negative TBPCR</w:t>
            </w:r>
            <w:r>
              <w:rPr>
                <w:rFonts w:asciiTheme="minorHAnsi" w:hAnsiTheme="minorHAnsi"/>
              </w:rPr>
              <w:t>s on sputum samples collected 8</w:t>
            </w:r>
            <w:r w:rsidRPr="007E3A0D">
              <w:rPr>
                <w:rFonts w:asciiTheme="minorHAnsi" w:hAnsiTheme="minorHAnsi"/>
              </w:rPr>
              <w:t>hrs apart to rule out infectious TB and remove patient from airborne isolation.</w:t>
            </w:r>
            <w:r>
              <w:rPr>
                <w:rFonts w:asciiTheme="minorHAnsi" w:hAnsiTheme="minorHAnsi"/>
              </w:rPr>
              <w:t xml:space="preserve"> For AFB smear positive patients, one negative TBPCR is adequate to rule out infectious tuberculosis. </w:t>
            </w:r>
          </w:p>
          <w:p w14:paraId="7DD01EFA" w14:textId="335304AF" w:rsidR="007D4FF4" w:rsidRPr="007D4FF4" w:rsidRDefault="007D4FF4" w:rsidP="007D4FF4">
            <w:pPr>
              <w:pStyle w:val="ListParagraph"/>
              <w:numPr>
                <w:ilvl w:val="0"/>
                <w:numId w:val="1"/>
              </w:numPr>
            </w:pPr>
            <w:r w:rsidRPr="007D4FF4">
              <w:t xml:space="preserve">Sensitivity is excellent in smear positive specimens but does not rule out TB </w:t>
            </w:r>
            <w:r>
              <w:t xml:space="preserve">infection </w:t>
            </w:r>
            <w:r w:rsidRPr="007D4FF4">
              <w:t>in smear negative specimens. TBPCR had 98% agreement with culture for smear positive specimens but only 72% agreement for smear negative specimens</w:t>
            </w:r>
            <w:r w:rsidR="007B45EB">
              <w:t xml:space="preserve"> (1)</w:t>
            </w:r>
            <w:r w:rsidRPr="007D4FF4">
              <w:t>.</w:t>
            </w:r>
            <w:r>
              <w:t xml:space="preserve"> </w:t>
            </w:r>
            <w:r w:rsidRPr="007D4FF4">
              <w:t xml:space="preserve">The </w:t>
            </w:r>
            <w:r w:rsidR="00C5080C">
              <w:t>TBPCR</w:t>
            </w:r>
            <w:r w:rsidRPr="007D4FF4">
              <w:t xml:space="preserve"> does not differentiate between the species of the MTB-complex (i.e., </w:t>
            </w:r>
            <w:r w:rsidRPr="007D4FF4">
              <w:rPr>
                <w:i/>
                <w:iCs/>
              </w:rPr>
              <w:t>M. tuberculosis</w:t>
            </w:r>
            <w:r w:rsidRPr="007D4FF4">
              <w:t xml:space="preserve">, </w:t>
            </w:r>
            <w:r w:rsidRPr="007D4FF4">
              <w:rPr>
                <w:i/>
                <w:iCs/>
              </w:rPr>
              <w:t xml:space="preserve">M. </w:t>
            </w:r>
            <w:proofErr w:type="spellStart"/>
            <w:r w:rsidRPr="007D4FF4">
              <w:rPr>
                <w:i/>
                <w:iCs/>
              </w:rPr>
              <w:t>bovis</w:t>
            </w:r>
            <w:proofErr w:type="spellEnd"/>
            <w:r w:rsidRPr="007D4FF4">
              <w:t xml:space="preserve">, </w:t>
            </w:r>
            <w:r w:rsidRPr="007D4FF4">
              <w:rPr>
                <w:i/>
                <w:iCs/>
              </w:rPr>
              <w:t xml:space="preserve">M. </w:t>
            </w:r>
            <w:proofErr w:type="spellStart"/>
            <w:r w:rsidRPr="007D4FF4">
              <w:rPr>
                <w:i/>
                <w:iCs/>
              </w:rPr>
              <w:t>africanum</w:t>
            </w:r>
            <w:proofErr w:type="spellEnd"/>
            <w:r w:rsidRPr="007D4FF4">
              <w:t xml:space="preserve">, </w:t>
            </w:r>
            <w:r w:rsidRPr="007D4FF4">
              <w:rPr>
                <w:i/>
                <w:iCs/>
              </w:rPr>
              <w:t xml:space="preserve">M. </w:t>
            </w:r>
            <w:proofErr w:type="spellStart"/>
            <w:r w:rsidRPr="007D4FF4">
              <w:rPr>
                <w:i/>
                <w:iCs/>
              </w:rPr>
              <w:t>canettii</w:t>
            </w:r>
            <w:proofErr w:type="spellEnd"/>
            <w:r w:rsidRPr="007D4FF4">
              <w:t xml:space="preserve">, </w:t>
            </w:r>
            <w:r w:rsidRPr="007D4FF4">
              <w:rPr>
                <w:i/>
                <w:iCs/>
              </w:rPr>
              <w:t xml:space="preserve">M. </w:t>
            </w:r>
            <w:proofErr w:type="spellStart"/>
            <w:r w:rsidRPr="007D4FF4">
              <w:rPr>
                <w:i/>
                <w:iCs/>
              </w:rPr>
              <w:t>microti</w:t>
            </w:r>
            <w:proofErr w:type="spellEnd"/>
            <w:r w:rsidRPr="007D4FF4">
              <w:t xml:space="preserve">, </w:t>
            </w:r>
            <w:r w:rsidRPr="007D4FF4">
              <w:rPr>
                <w:i/>
                <w:iCs/>
              </w:rPr>
              <w:t xml:space="preserve">M. </w:t>
            </w:r>
            <w:proofErr w:type="spellStart"/>
            <w:r w:rsidRPr="007D4FF4">
              <w:rPr>
                <w:i/>
                <w:iCs/>
              </w:rPr>
              <w:t>caprae</w:t>
            </w:r>
            <w:proofErr w:type="spellEnd"/>
            <w:r w:rsidRPr="007D4FF4">
              <w:t xml:space="preserve">, </w:t>
            </w:r>
            <w:r w:rsidRPr="007D4FF4">
              <w:rPr>
                <w:i/>
                <w:iCs/>
              </w:rPr>
              <w:t xml:space="preserve">M. </w:t>
            </w:r>
            <w:proofErr w:type="spellStart"/>
            <w:r w:rsidRPr="007D4FF4">
              <w:rPr>
                <w:i/>
                <w:iCs/>
              </w:rPr>
              <w:t>pinnipedi</w:t>
            </w:r>
            <w:proofErr w:type="spellEnd"/>
            <w:r w:rsidRPr="007D4FF4">
              <w:t xml:space="preserve">, </w:t>
            </w:r>
            <w:r w:rsidRPr="007D4FF4">
              <w:rPr>
                <w:i/>
                <w:iCs/>
              </w:rPr>
              <w:t xml:space="preserve">M. </w:t>
            </w:r>
            <w:proofErr w:type="spellStart"/>
            <w:r w:rsidRPr="007D4FF4">
              <w:rPr>
                <w:i/>
                <w:iCs/>
              </w:rPr>
              <w:t>mungi</w:t>
            </w:r>
            <w:proofErr w:type="spellEnd"/>
            <w:r w:rsidRPr="007D4FF4">
              <w:t xml:space="preserve">, and </w:t>
            </w:r>
            <w:r w:rsidRPr="007D4FF4">
              <w:rPr>
                <w:i/>
                <w:iCs/>
              </w:rPr>
              <w:t xml:space="preserve">M. </w:t>
            </w:r>
            <w:proofErr w:type="spellStart"/>
            <w:r w:rsidRPr="007D4FF4">
              <w:rPr>
                <w:i/>
                <w:iCs/>
              </w:rPr>
              <w:t>orygis</w:t>
            </w:r>
            <w:proofErr w:type="spellEnd"/>
            <w:r w:rsidRPr="007D4FF4">
              <w:t>).</w:t>
            </w:r>
          </w:p>
          <w:p w14:paraId="34414559" w14:textId="77777777" w:rsidR="007D4FF4" w:rsidRPr="007D4FF4" w:rsidRDefault="007D4FF4" w:rsidP="007D4F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7D4FF4">
              <w:t xml:space="preserve">Specimens that have both TB-complex DNA and rifampin-resistance associated mutations of the </w:t>
            </w:r>
            <w:proofErr w:type="spellStart"/>
            <w:r w:rsidRPr="007D4FF4">
              <w:rPr>
                <w:i/>
                <w:iCs/>
              </w:rPr>
              <w:t>rpoB</w:t>
            </w:r>
            <w:proofErr w:type="spellEnd"/>
            <w:r w:rsidRPr="007D4FF4">
              <w:rPr>
                <w:i/>
                <w:iCs/>
              </w:rPr>
              <w:t xml:space="preserve"> </w:t>
            </w:r>
            <w:r w:rsidRPr="007D4FF4">
              <w:t xml:space="preserve">gene detected by </w:t>
            </w:r>
            <w:r>
              <w:t xml:space="preserve">TBPCR </w:t>
            </w:r>
            <w:r w:rsidRPr="007D4FF4">
              <w:t xml:space="preserve">must have results confirmed by </w:t>
            </w:r>
            <w:r>
              <w:t>routine susceptibility testing. Resistance to rifampin is often associated with resistance to other anti-TB drugs such as isoniazid</w:t>
            </w:r>
          </w:p>
          <w:p w14:paraId="470E29CB" w14:textId="77777777" w:rsidR="007D4FF4" w:rsidRPr="007A640C" w:rsidRDefault="007D4FF4" w:rsidP="00720A63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4D94" w:rsidRPr="00380737" w14:paraId="53424A20" w14:textId="77777777" w:rsidTr="0010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tcW w:w="10302" w:type="dxa"/>
            <w:hideMark/>
          </w:tcPr>
          <w:p w14:paraId="1CC912D6" w14:textId="77777777" w:rsidR="001F6561" w:rsidRPr="001D4FCA" w:rsidRDefault="001F6561" w:rsidP="00DF674A">
            <w:pPr>
              <w:rPr>
                <w:b/>
                <w:sz w:val="24"/>
                <w:szCs w:val="20"/>
                <w:u w:val="single"/>
              </w:rPr>
            </w:pPr>
            <w:r w:rsidRPr="00380737">
              <w:rPr>
                <w:b/>
                <w:sz w:val="24"/>
                <w:szCs w:val="20"/>
                <w:u w:val="single"/>
              </w:rPr>
              <w:t>Acceptable Specimen Source(S):</w:t>
            </w:r>
          </w:p>
          <w:p w14:paraId="68E4501D" w14:textId="18BC98E0" w:rsidR="001F6561" w:rsidRDefault="00720A63" w:rsidP="00DF67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34495">
              <w:rPr>
                <w:rFonts w:asciiTheme="minorHAnsi" w:hAnsiTheme="minorHAnsi"/>
              </w:rPr>
              <w:t xml:space="preserve">Expectorated or induced sputum in a sterile container. </w:t>
            </w:r>
          </w:p>
          <w:p w14:paraId="1641889E" w14:textId="0911DF2A" w:rsidR="00A81571" w:rsidRPr="00834495" w:rsidRDefault="00A81571" w:rsidP="00DF67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The same specimen can be used for both TBPCR and AFB culture. </w:t>
            </w:r>
          </w:p>
          <w:p w14:paraId="19E26777" w14:textId="77777777" w:rsidR="001F6561" w:rsidRPr="00834495" w:rsidRDefault="00A72BA0" w:rsidP="00DF67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34495">
              <w:rPr>
                <w:rFonts w:asciiTheme="minorHAnsi" w:hAnsiTheme="minorHAnsi"/>
              </w:rPr>
              <w:t>Volu</w:t>
            </w:r>
            <w:r w:rsidR="00564D94">
              <w:rPr>
                <w:rFonts w:asciiTheme="minorHAnsi" w:hAnsiTheme="minorHAnsi"/>
              </w:rPr>
              <w:t>m</w:t>
            </w:r>
            <w:r w:rsidRPr="00834495">
              <w:rPr>
                <w:rFonts w:asciiTheme="minorHAnsi" w:hAnsiTheme="minorHAnsi"/>
              </w:rPr>
              <w:t xml:space="preserve">e required: 5ml </w:t>
            </w:r>
          </w:p>
          <w:p w14:paraId="1DA80E88" w14:textId="77777777" w:rsidR="001F6561" w:rsidRPr="00380737" w:rsidRDefault="001F6561" w:rsidP="00834495">
            <w:pPr>
              <w:pStyle w:val="ListParagrap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64D94" w:rsidRPr="00380737" w14:paraId="7F4A9C37" w14:textId="77777777" w:rsidTr="00106C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3"/>
        </w:trPr>
        <w:tc>
          <w:tcPr>
            <w:tcW w:w="10302" w:type="dxa"/>
            <w:hideMark/>
          </w:tcPr>
          <w:p w14:paraId="2868E047" w14:textId="0D217527" w:rsidR="00106CD0" w:rsidRPr="00380737" w:rsidRDefault="001F6561" w:rsidP="00DF674A">
            <w:pPr>
              <w:rPr>
                <w:b/>
                <w:sz w:val="24"/>
                <w:szCs w:val="20"/>
                <w:u w:val="single"/>
              </w:rPr>
            </w:pPr>
            <w:r w:rsidRPr="00380737">
              <w:rPr>
                <w:b/>
                <w:sz w:val="24"/>
                <w:szCs w:val="20"/>
                <w:u w:val="single"/>
              </w:rPr>
              <w:t xml:space="preserve">Causes </w:t>
            </w:r>
            <w:proofErr w:type="gramStart"/>
            <w:r w:rsidRPr="00380737">
              <w:rPr>
                <w:b/>
                <w:sz w:val="24"/>
                <w:szCs w:val="20"/>
                <w:u w:val="single"/>
              </w:rPr>
              <w:t>For</w:t>
            </w:r>
            <w:proofErr w:type="gramEnd"/>
            <w:r w:rsidRPr="00380737">
              <w:rPr>
                <w:b/>
                <w:sz w:val="24"/>
                <w:szCs w:val="20"/>
                <w:u w:val="single"/>
              </w:rPr>
              <w:t xml:space="preserve"> Rejection </w:t>
            </w:r>
          </w:p>
          <w:p w14:paraId="17C18EBA" w14:textId="77777777" w:rsidR="001F6561" w:rsidRPr="006130C5" w:rsidRDefault="00834495" w:rsidP="006130C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6130C5">
              <w:rPr>
                <w:rFonts w:asciiTheme="minorHAnsi" w:hAnsiTheme="minorHAnsi"/>
              </w:rPr>
              <w:t xml:space="preserve">Smear positive patients with </w:t>
            </w:r>
            <w:r w:rsidR="006130C5">
              <w:rPr>
                <w:rFonts w:asciiTheme="minorHAnsi" w:hAnsiTheme="minorHAnsi"/>
              </w:rPr>
              <w:t xml:space="preserve">AFB </w:t>
            </w:r>
            <w:r w:rsidRPr="006130C5">
              <w:rPr>
                <w:rFonts w:asciiTheme="minorHAnsi" w:hAnsiTheme="minorHAnsi"/>
              </w:rPr>
              <w:t>cultures positive for atypical mycobacteria in the previous 12 months will be rejected for TB PCR. Any exceptions will require approval from both I</w:t>
            </w:r>
            <w:r w:rsidR="006130C5">
              <w:rPr>
                <w:rFonts w:asciiTheme="minorHAnsi" w:hAnsiTheme="minorHAnsi"/>
              </w:rPr>
              <w:t>nfectious Disease</w:t>
            </w:r>
            <w:r w:rsidRPr="006130C5">
              <w:rPr>
                <w:rFonts w:asciiTheme="minorHAnsi" w:hAnsiTheme="minorHAnsi"/>
              </w:rPr>
              <w:t xml:space="preserve"> and Microbiology senior staff.</w:t>
            </w:r>
          </w:p>
          <w:p w14:paraId="778D4691" w14:textId="77777777" w:rsidR="00834495" w:rsidRPr="006130C5" w:rsidRDefault="00834495" w:rsidP="006130C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6130C5">
              <w:rPr>
                <w:rFonts w:asciiTheme="minorHAnsi" w:hAnsiTheme="minorHAnsi"/>
              </w:rPr>
              <w:t>Patients with 2 negative TBPCR results will not be retested for 30 days.</w:t>
            </w:r>
          </w:p>
          <w:p w14:paraId="6D63BAF2" w14:textId="77777777" w:rsidR="00834495" w:rsidRPr="00106CD0" w:rsidRDefault="00834495" w:rsidP="006130C5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6130C5">
              <w:rPr>
                <w:rFonts w:asciiTheme="minorHAnsi" w:hAnsiTheme="minorHAnsi"/>
              </w:rPr>
              <w:t>Patients with positive TB culture or PCR will not be tested using TB PCR for 6 months. Platform is not approved for patients on therapy.</w:t>
            </w:r>
          </w:p>
          <w:p w14:paraId="01D91015" w14:textId="770D9EA7" w:rsidR="00106CD0" w:rsidRPr="00106CD0" w:rsidRDefault="00106CD0" w:rsidP="006130C5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06CD0">
              <w:rPr>
                <w:rFonts w:asciiTheme="minorHAnsi" w:hAnsiTheme="minorHAnsi"/>
                <w:b/>
              </w:rPr>
              <w:t xml:space="preserve">Specimens from patients who are not in airborne isolation will be rejected for TBPCR. </w:t>
            </w:r>
          </w:p>
        </w:tc>
      </w:tr>
      <w:tr w:rsidR="00564D94" w:rsidRPr="00380737" w14:paraId="166656F1" w14:textId="77777777" w:rsidTr="0010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tcW w:w="10302" w:type="dxa"/>
          </w:tcPr>
          <w:p w14:paraId="6C57D8B9" w14:textId="77777777" w:rsidR="001F6561" w:rsidRPr="00380737" w:rsidRDefault="001F6561" w:rsidP="00DF674A">
            <w:pPr>
              <w:rPr>
                <w:b/>
                <w:sz w:val="24"/>
                <w:szCs w:val="20"/>
                <w:u w:val="single"/>
              </w:rPr>
            </w:pPr>
            <w:r w:rsidRPr="00380737">
              <w:rPr>
                <w:b/>
                <w:sz w:val="24"/>
                <w:szCs w:val="20"/>
                <w:u w:val="single"/>
              </w:rPr>
              <w:t>For More Information</w:t>
            </w:r>
            <w:r w:rsidRPr="00380737">
              <w:rPr>
                <w:b/>
                <w:sz w:val="24"/>
                <w:u w:val="single"/>
              </w:rPr>
              <w:t xml:space="preserve">: </w:t>
            </w:r>
          </w:p>
          <w:p w14:paraId="012233F6" w14:textId="77777777" w:rsidR="001F6561" w:rsidRPr="007B6648" w:rsidRDefault="001F6561" w:rsidP="00DF674A">
            <w:pPr>
              <w:rPr>
                <w:b/>
              </w:rPr>
            </w:pPr>
            <w:r w:rsidRPr="007B6648">
              <w:rPr>
                <w:b/>
              </w:rPr>
              <w:t xml:space="preserve">For Questions About This Specific New Test </w:t>
            </w:r>
            <w:proofErr w:type="gramStart"/>
            <w:r w:rsidRPr="007B6648">
              <w:rPr>
                <w:b/>
              </w:rPr>
              <w:t xml:space="preserve">Contact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 w:rsidR="006130C5">
              <w:t>Dr. Samuel or Tibbetts @313-916-1041</w:t>
            </w:r>
          </w:p>
          <w:p w14:paraId="1830167F" w14:textId="77777777" w:rsidR="001F6561" w:rsidRPr="00380737" w:rsidRDefault="009F7FBD" w:rsidP="00DF674A">
            <w:pPr>
              <w:rPr>
                <w:b/>
                <w:sz w:val="24"/>
                <w:szCs w:val="20"/>
              </w:rPr>
            </w:pPr>
            <w:hyperlink r:id="rId8" w:history="1">
              <w:r w:rsidR="001F6561" w:rsidRPr="00380737">
                <w:rPr>
                  <w:rStyle w:val="Hyperlink"/>
                  <w:b/>
                  <w:color w:val="auto"/>
                  <w:sz w:val="24"/>
                  <w:szCs w:val="20"/>
                </w:rPr>
                <w:t>http://pathology.hfhs.org/lug</w:t>
              </w:r>
            </w:hyperlink>
            <w:r w:rsidR="001F6561" w:rsidRPr="00380737">
              <w:rPr>
                <w:b/>
                <w:sz w:val="24"/>
                <w:szCs w:val="20"/>
              </w:rPr>
              <w:t xml:space="preserve"> Search our Electronic Lab Users Guide Test Catalog </w:t>
            </w:r>
          </w:p>
          <w:p w14:paraId="07DBCD79" w14:textId="77777777" w:rsidR="001F6561" w:rsidRPr="006130C5" w:rsidRDefault="001F6561" w:rsidP="00DF674A">
            <w:pPr>
              <w:rPr>
                <w:b/>
                <w:sz w:val="24"/>
                <w:szCs w:val="20"/>
              </w:rPr>
            </w:pPr>
            <w:r w:rsidRPr="00380737">
              <w:rPr>
                <w:b/>
                <w:sz w:val="24"/>
                <w:szCs w:val="20"/>
              </w:rPr>
              <w:t xml:space="preserve">313.916. LABS (5527) for Lab Customer Service </w:t>
            </w:r>
            <w:r w:rsidR="006130C5">
              <w:rPr>
                <w:b/>
                <w:sz w:val="24"/>
                <w:szCs w:val="20"/>
              </w:rPr>
              <w:t xml:space="preserve">or to speak with a Pathologist </w:t>
            </w:r>
          </w:p>
        </w:tc>
      </w:tr>
    </w:tbl>
    <w:p w14:paraId="6F220B51" w14:textId="77777777" w:rsidR="001F6561" w:rsidRDefault="001F6561"/>
    <w:sectPr w:rsidR="001F6561" w:rsidSect="00F1235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C6E3C" w14:textId="77777777" w:rsidR="009F7FBD" w:rsidRDefault="009F7FBD" w:rsidP="00F1235F">
      <w:r>
        <w:separator/>
      </w:r>
    </w:p>
  </w:endnote>
  <w:endnote w:type="continuationSeparator" w:id="0">
    <w:p w14:paraId="1054DB2E" w14:textId="77777777" w:rsidR="009F7FBD" w:rsidRDefault="009F7FBD" w:rsidP="00F1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8868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FD162C8" w14:textId="20EC45A0" w:rsidR="00DF674A" w:rsidRDefault="00DF674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E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E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C75F02" w14:textId="77777777" w:rsidR="00DF674A" w:rsidRDefault="00DF6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18543" w14:textId="77777777" w:rsidR="009F7FBD" w:rsidRDefault="009F7FBD" w:rsidP="00F1235F">
      <w:r>
        <w:separator/>
      </w:r>
    </w:p>
  </w:footnote>
  <w:footnote w:type="continuationSeparator" w:id="0">
    <w:p w14:paraId="28FDA79B" w14:textId="77777777" w:rsidR="009F7FBD" w:rsidRDefault="009F7FBD" w:rsidP="00F12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CB589" w14:textId="77777777" w:rsidR="00DF674A" w:rsidRDefault="00DF674A" w:rsidP="00F1235F">
    <w:pPr>
      <w:ind w:left="720" w:firstLine="72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DA2D95" wp14:editId="2C13986E">
          <wp:simplePos x="0" y="0"/>
          <wp:positionH relativeFrom="column">
            <wp:posOffset>-189865</wp:posOffset>
          </wp:positionH>
          <wp:positionV relativeFrom="paragraph">
            <wp:posOffset>-250190</wp:posOffset>
          </wp:positionV>
          <wp:extent cx="914400" cy="431165"/>
          <wp:effectExtent l="0" t="0" r="0" b="6985"/>
          <wp:wrapSquare wrapText="bothSides"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Pathology and Laboratory Medicine </w:t>
    </w:r>
  </w:p>
  <w:p w14:paraId="6A0D054F" w14:textId="77777777" w:rsidR="00DF674A" w:rsidRDefault="00DF674A" w:rsidP="00F1235F">
    <w:pPr>
      <w:rPr>
        <w:sz w:val="20"/>
        <w:szCs w:val="20"/>
      </w:rPr>
    </w:pPr>
  </w:p>
  <w:p w14:paraId="10919EEA" w14:textId="77777777" w:rsidR="00DF674A" w:rsidRDefault="00DF674A" w:rsidP="00F1235F">
    <w:pPr>
      <w:rPr>
        <w:sz w:val="20"/>
        <w:szCs w:val="20"/>
      </w:rPr>
    </w:pPr>
  </w:p>
  <w:p w14:paraId="3D8A2A1C" w14:textId="77777777" w:rsidR="00DF674A" w:rsidRDefault="00DF674A" w:rsidP="00F1235F">
    <w:r>
      <w:rPr>
        <w:sz w:val="20"/>
        <w:szCs w:val="20"/>
      </w:rPr>
      <w:t xml:space="preserve">Title: PRC-PALM-5.17 </w:t>
    </w:r>
    <w:proofErr w:type="spellStart"/>
    <w:r>
      <w:rPr>
        <w:sz w:val="20"/>
        <w:szCs w:val="20"/>
      </w:rPr>
      <w:t>polpro-stw</w:t>
    </w:r>
    <w:proofErr w:type="spellEnd"/>
    <w:r>
      <w:rPr>
        <w:sz w:val="20"/>
        <w:szCs w:val="20"/>
      </w:rPr>
      <w:t xml:space="preserve"> 1</w:t>
    </w:r>
    <w:r w:rsidRPr="00A275C2">
      <w:rPr>
        <w:sz w:val="20"/>
        <w:szCs w:val="20"/>
      </w:rPr>
      <w:t xml:space="preserve"> </w:t>
    </w:r>
    <w:r>
      <w:rPr>
        <w:sz w:val="20"/>
        <w:szCs w:val="20"/>
      </w:rPr>
      <w:t xml:space="preserve">New </w:t>
    </w:r>
    <w:r w:rsidRPr="00A275C2">
      <w:rPr>
        <w:sz w:val="20"/>
        <w:szCs w:val="20"/>
      </w:rPr>
      <w:t>Test Announcement</w:t>
    </w:r>
    <w:r>
      <w:t xml:space="preserve"> Instructions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0111"/>
    <w:multiLevelType w:val="hybridMultilevel"/>
    <w:tmpl w:val="3B6A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D64A2"/>
    <w:multiLevelType w:val="hybridMultilevel"/>
    <w:tmpl w:val="D80E3712"/>
    <w:lvl w:ilvl="0" w:tplc="3C2A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61"/>
    <w:rsid w:val="00017982"/>
    <w:rsid w:val="00075A83"/>
    <w:rsid w:val="000815D4"/>
    <w:rsid w:val="00106CD0"/>
    <w:rsid w:val="001F6561"/>
    <w:rsid w:val="00266E35"/>
    <w:rsid w:val="003E42F0"/>
    <w:rsid w:val="00564D94"/>
    <w:rsid w:val="005A20EA"/>
    <w:rsid w:val="006130C5"/>
    <w:rsid w:val="0062379B"/>
    <w:rsid w:val="006B385B"/>
    <w:rsid w:val="00720A63"/>
    <w:rsid w:val="007B45EB"/>
    <w:rsid w:val="007D4FF4"/>
    <w:rsid w:val="007E3A0D"/>
    <w:rsid w:val="00834495"/>
    <w:rsid w:val="008D71D4"/>
    <w:rsid w:val="00994074"/>
    <w:rsid w:val="009D6925"/>
    <w:rsid w:val="009F7FBD"/>
    <w:rsid w:val="00A2662D"/>
    <w:rsid w:val="00A42BDA"/>
    <w:rsid w:val="00A72BA0"/>
    <w:rsid w:val="00A81571"/>
    <w:rsid w:val="00AC1926"/>
    <w:rsid w:val="00B41A3B"/>
    <w:rsid w:val="00B85BB7"/>
    <w:rsid w:val="00BA168A"/>
    <w:rsid w:val="00C1404A"/>
    <w:rsid w:val="00C5080C"/>
    <w:rsid w:val="00D65053"/>
    <w:rsid w:val="00DF49AC"/>
    <w:rsid w:val="00DF674A"/>
    <w:rsid w:val="00E2476B"/>
    <w:rsid w:val="00E52C3B"/>
    <w:rsid w:val="00EF7B41"/>
    <w:rsid w:val="00F1235F"/>
    <w:rsid w:val="00F152A9"/>
    <w:rsid w:val="00FB4B71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76D3"/>
  <w15:docId w15:val="{A8946813-C9F0-4DC3-A4BF-0CB8A22A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56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5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56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F65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LightGrid-Accent1">
    <w:name w:val="Light Grid Accent 1"/>
    <w:basedOn w:val="TableNormal"/>
    <w:uiPriority w:val="62"/>
    <w:rsid w:val="001F65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12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35F"/>
  </w:style>
  <w:style w:type="paragraph" w:styleId="Footer">
    <w:name w:val="footer"/>
    <w:basedOn w:val="Normal"/>
    <w:link w:val="FooterChar"/>
    <w:uiPriority w:val="99"/>
    <w:unhideWhenUsed/>
    <w:rsid w:val="00F12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35F"/>
  </w:style>
  <w:style w:type="paragraph" w:styleId="BalloonText">
    <w:name w:val="Balloon Text"/>
    <w:basedOn w:val="Normal"/>
    <w:link w:val="BalloonTextChar"/>
    <w:uiPriority w:val="99"/>
    <w:semiHidden/>
    <w:unhideWhenUsed/>
    <w:rsid w:val="00F12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3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66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3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A0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130C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130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thology.hfhs.org/lu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bcontrollers.org/docs/resources/NTCA_APHL_GeneXpert_Consensus_Statement_Fin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A486328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HFHS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Copeland, Jacqueline</dc:creator>
  <cp:lastModifiedBy>Samuel, Linoj</cp:lastModifiedBy>
  <cp:revision>4</cp:revision>
  <dcterms:created xsi:type="dcterms:W3CDTF">2019-02-08T17:40:00Z</dcterms:created>
  <dcterms:modified xsi:type="dcterms:W3CDTF">2019-02-12T19:43:00Z</dcterms:modified>
</cp:coreProperties>
</file>